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6D14" w14:textId="119026FB" w:rsidR="008810AA" w:rsidRPr="008810AA" w:rsidRDefault="008810AA" w:rsidP="008810A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F52E1">
        <w:rPr>
          <w:rFonts w:ascii="Times New Roman" w:hAnsi="Times New Roman" w:cs="Times New Roman"/>
          <w:b/>
          <w:bCs/>
          <w:sz w:val="56"/>
          <w:szCs w:val="56"/>
        </w:rPr>
        <w:t>NVIDIA’s Strategic Cost Decision</w:t>
      </w:r>
    </w:p>
    <w:p w14:paraId="4F032E30" w14:textId="66772BE9" w:rsidR="00FA3332" w:rsidRPr="00FA3332" w:rsidRDefault="00FA3332" w:rsidP="00FA333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MS Gothic" w:hAnsi="Times New Roman" w:cs="Times New Roman"/>
          <w:b/>
          <w:bCs/>
          <w:color w:val="17365D"/>
          <w:spacing w:val="5"/>
          <w:kern w:val="28"/>
          <w:sz w:val="22"/>
          <w:szCs w:val="22"/>
          <w14:ligatures w14:val="none"/>
        </w:rPr>
      </w:pPr>
      <w:r w:rsidRPr="00FA3332">
        <w:rPr>
          <w:rFonts w:ascii="Times New Roman" w:eastAsia="MS Gothic" w:hAnsi="Times New Roman" w:cs="Times New Roman"/>
          <w:b/>
          <w:bCs/>
          <w:color w:val="17365D"/>
          <w:spacing w:val="5"/>
          <w:kern w:val="28"/>
          <w:sz w:val="22"/>
          <w:szCs w:val="22"/>
          <w14:ligatures w14:val="none"/>
        </w:rPr>
        <w:t>Long-Term Manufacturing Alignment and Cost Stabilization in the Semiconductor Industry</w:t>
      </w:r>
    </w:p>
    <w:p w14:paraId="480FC300" w14:textId="4DC04D68" w:rsidR="00FA3332" w:rsidRPr="00ED7CCA" w:rsidRDefault="00FA3332" w:rsidP="00FA3332">
      <w:pPr>
        <w:rPr>
          <w:rFonts w:ascii="Times New Roman" w:hAnsi="Times New Roman" w:cs="Times New Roman"/>
        </w:rPr>
      </w:pPr>
      <w:r w:rsidRPr="009A7A8A">
        <w:rPr>
          <w:rFonts w:ascii="Times New Roman" w:hAnsi="Times New Roman" w:cs="Times New Roman"/>
          <w:b/>
          <w:bCs/>
        </w:rPr>
        <w:t>Name:</w:t>
      </w:r>
      <w:r w:rsidRPr="00ED7CCA">
        <w:rPr>
          <w:rFonts w:ascii="Times New Roman" w:hAnsi="Times New Roman" w:cs="Times New Roman"/>
        </w:rPr>
        <w:t xml:space="preserve"> Erik Thompson</w:t>
      </w:r>
      <w:r w:rsidRPr="00ED7CCA">
        <w:rPr>
          <w:rFonts w:ascii="Times New Roman" w:hAnsi="Times New Roman" w:cs="Times New Roman"/>
        </w:rPr>
        <w:br/>
      </w:r>
      <w:r w:rsidRPr="009A7A8A">
        <w:rPr>
          <w:rFonts w:ascii="Times New Roman" w:hAnsi="Times New Roman" w:cs="Times New Roman"/>
          <w:b/>
          <w:bCs/>
        </w:rPr>
        <w:t>Course:</w:t>
      </w:r>
      <w:r w:rsidRPr="00ED7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Advanced Accounting for Managers</w:t>
      </w:r>
      <w:r w:rsidRPr="00ED7CCA">
        <w:rPr>
          <w:rFonts w:ascii="Times New Roman" w:hAnsi="Times New Roman" w:cs="Times New Roman"/>
        </w:rPr>
        <w:t xml:space="preserve"> – BADM </w:t>
      </w:r>
      <w:r>
        <w:rPr>
          <w:rFonts w:ascii="Times New Roman" w:hAnsi="Times New Roman" w:cs="Times New Roman"/>
        </w:rPr>
        <w:t>560</w:t>
      </w:r>
      <w:r w:rsidRPr="00ED7CC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Instructor</w:t>
      </w:r>
      <w:r w:rsidRPr="009A7A8A">
        <w:rPr>
          <w:rFonts w:ascii="Times New Roman" w:hAnsi="Times New Roman" w:cs="Times New Roman"/>
          <w:b/>
          <w:bCs/>
        </w:rPr>
        <w:t>:</w:t>
      </w:r>
      <w:r w:rsidRPr="00ED7CCA">
        <w:rPr>
          <w:rFonts w:ascii="Times New Roman" w:hAnsi="Times New Roman" w:cs="Times New Roman"/>
        </w:rPr>
        <w:t xml:space="preserve"> </w:t>
      </w:r>
      <w:r w:rsidRPr="00FA3332">
        <w:rPr>
          <w:rFonts w:ascii="Times New Roman" w:hAnsi="Times New Roman" w:cs="Times New Roman"/>
        </w:rPr>
        <w:t>Dr. Carson Jones</w:t>
      </w:r>
      <w:r w:rsidRPr="00ED7CCA">
        <w:rPr>
          <w:rFonts w:ascii="Times New Roman" w:hAnsi="Times New Roman" w:cs="Times New Roman"/>
        </w:rPr>
        <w:br/>
      </w:r>
      <w:r w:rsidRPr="009A7A8A">
        <w:rPr>
          <w:rFonts w:ascii="Times New Roman" w:hAnsi="Times New Roman" w:cs="Times New Roman"/>
          <w:b/>
          <w:bCs/>
        </w:rPr>
        <w:t>Date:</w:t>
      </w:r>
      <w:r w:rsidRPr="00ED7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February</w:t>
      </w:r>
      <w:r w:rsidRPr="00ED7CCA">
        <w:rPr>
          <w:rFonts w:ascii="Times New Roman" w:hAnsi="Times New Roman" w:cs="Times New Roman"/>
        </w:rPr>
        <w:t xml:space="preserve"> </w:t>
      </w:r>
      <w:r w:rsidR="00CD786A">
        <w:rPr>
          <w:rFonts w:ascii="Times New Roman" w:hAnsi="Times New Roman" w:cs="Times New Roman"/>
        </w:rPr>
        <w:t>6</w:t>
      </w:r>
      <w:r w:rsidRPr="00ED7CCA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1FB8BDE1" w14:textId="77777777" w:rsidR="00FA3332" w:rsidRPr="00ED7CCA" w:rsidRDefault="00FA3332" w:rsidP="00FA3332">
      <w:pPr>
        <w:rPr>
          <w:rFonts w:ascii="Times New Roman" w:hAnsi="Times New Roman" w:cs="Times New Roman"/>
        </w:rPr>
      </w:pPr>
    </w:p>
    <w:p w14:paraId="0D592347" w14:textId="77777777" w:rsidR="00FA3332" w:rsidRPr="00ED7CCA" w:rsidRDefault="00FA3332" w:rsidP="00FA3332">
      <w:pPr>
        <w:rPr>
          <w:rFonts w:ascii="Times New Roman" w:hAnsi="Times New Roman" w:cs="Times New Roman"/>
        </w:rPr>
      </w:pPr>
    </w:p>
    <w:p w14:paraId="2FAB19A9" w14:textId="77777777" w:rsidR="00FA3332" w:rsidRPr="00ED7CCA" w:rsidRDefault="00FA3332" w:rsidP="00FA3332">
      <w:pPr>
        <w:jc w:val="center"/>
        <w:rPr>
          <w:rFonts w:ascii="Times New Roman" w:hAnsi="Times New Roman" w:cs="Times New Roman"/>
        </w:rPr>
      </w:pPr>
      <w:r w:rsidRPr="00ED7CCA">
        <w:rPr>
          <w:rFonts w:ascii="Times New Roman" w:hAnsi="Times New Roman" w:cs="Times New Roman"/>
          <w:noProof/>
        </w:rPr>
        <w:drawing>
          <wp:inline distT="0" distB="0" distL="0" distR="0" wp14:anchorId="04F5916F" wp14:editId="00FBF8B9">
            <wp:extent cx="5410422" cy="3606948"/>
            <wp:effectExtent l="95250" t="95250" r="95250" b="88900"/>
            <wp:docPr id="957928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28848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422" cy="360694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2042B14" w14:textId="77777777" w:rsidR="00FA3332" w:rsidRPr="00ED7CCA" w:rsidRDefault="00FA3332" w:rsidP="00FA3332">
      <w:pPr>
        <w:rPr>
          <w:rFonts w:ascii="Times New Roman" w:hAnsi="Times New Roman" w:cs="Times New Roman"/>
        </w:rPr>
      </w:pPr>
    </w:p>
    <w:p w14:paraId="0068C967" w14:textId="77777777" w:rsidR="00FA3332" w:rsidRDefault="00FA33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AD349F6" w14:textId="77777777" w:rsidR="00EF52E1" w:rsidRPr="00EF52E1" w:rsidRDefault="00EF52E1" w:rsidP="00EF52E1">
      <w:pPr>
        <w:spacing w:line="480" w:lineRule="auto"/>
        <w:rPr>
          <w:rFonts w:ascii="Times New Roman" w:hAnsi="Times New Roman" w:cs="Times New Roman"/>
          <w:b/>
          <w:bCs/>
        </w:rPr>
      </w:pPr>
      <w:r w:rsidRPr="00EF52E1">
        <w:rPr>
          <w:rFonts w:ascii="Times New Roman" w:hAnsi="Times New Roman" w:cs="Times New Roman"/>
          <w:b/>
          <w:bCs/>
        </w:rPr>
        <w:lastRenderedPageBreak/>
        <w:t>Introduction</w:t>
      </w:r>
    </w:p>
    <w:p w14:paraId="7B2560FF" w14:textId="344656E8" w:rsidR="00EF52E1" w:rsidRPr="00EF52E1" w:rsidRDefault="00EF52E1" w:rsidP="00EF52E1">
      <w:pPr>
        <w:spacing w:line="480" w:lineRule="auto"/>
        <w:rPr>
          <w:rFonts w:ascii="Times New Roman" w:hAnsi="Times New Roman" w:cs="Times New Roman"/>
        </w:rPr>
      </w:pPr>
      <w:r w:rsidRPr="00EF52E1">
        <w:rPr>
          <w:rFonts w:ascii="Times New Roman" w:hAnsi="Times New Roman" w:cs="Times New Roman"/>
        </w:rPr>
        <w:t>In technologically dynamic industries</w:t>
      </w:r>
      <w:r w:rsidR="008F64E6">
        <w:rPr>
          <w:rFonts w:ascii="Times New Roman" w:hAnsi="Times New Roman" w:cs="Times New Roman"/>
        </w:rPr>
        <w:t xml:space="preserve"> that have intense capital requirements, </w:t>
      </w:r>
      <w:r w:rsidRPr="00EF52E1">
        <w:rPr>
          <w:rFonts w:ascii="Times New Roman" w:hAnsi="Times New Roman" w:cs="Times New Roman"/>
        </w:rPr>
        <w:t>strategic cost decisions</w:t>
      </w:r>
      <w:r w:rsidR="00CD786A">
        <w:rPr>
          <w:rFonts w:ascii="Times New Roman" w:hAnsi="Times New Roman" w:cs="Times New Roman"/>
        </w:rPr>
        <w:t xml:space="preserve"> often</w:t>
      </w:r>
      <w:r w:rsidRPr="00EF52E1">
        <w:rPr>
          <w:rFonts w:ascii="Times New Roman" w:hAnsi="Times New Roman" w:cs="Times New Roman"/>
        </w:rPr>
        <w:t xml:space="preserve"> extend </w:t>
      </w:r>
      <w:r w:rsidR="00CD786A">
        <w:rPr>
          <w:rFonts w:ascii="Times New Roman" w:hAnsi="Times New Roman" w:cs="Times New Roman"/>
        </w:rPr>
        <w:t>into</w:t>
      </w:r>
      <w:r w:rsidRPr="00EF52E1">
        <w:rPr>
          <w:rFonts w:ascii="Times New Roman" w:hAnsi="Times New Roman" w:cs="Times New Roman"/>
        </w:rPr>
        <w:t xml:space="preserve"> long-run cost structures and risk exposure. </w:t>
      </w:r>
      <w:r w:rsidR="00CD786A">
        <w:rPr>
          <w:rFonts w:ascii="Times New Roman" w:hAnsi="Times New Roman" w:cs="Times New Roman"/>
        </w:rPr>
        <w:t>There are</w:t>
      </w:r>
      <w:r w:rsidRPr="00EF52E1">
        <w:rPr>
          <w:rFonts w:ascii="Times New Roman" w:hAnsi="Times New Roman" w:cs="Times New Roman"/>
        </w:rPr>
        <w:t xml:space="preserve"> </w:t>
      </w:r>
      <w:r w:rsidR="00CD786A">
        <w:rPr>
          <w:rFonts w:ascii="Times New Roman" w:hAnsi="Times New Roman" w:cs="Times New Roman"/>
        </w:rPr>
        <w:t xml:space="preserve">essential </w:t>
      </w:r>
      <w:r w:rsidRPr="00EF52E1">
        <w:rPr>
          <w:rFonts w:ascii="Times New Roman" w:hAnsi="Times New Roman" w:cs="Times New Roman"/>
        </w:rPr>
        <w:t xml:space="preserve">tradeoffs between flexibility, fixed commitments, and cost predictability, often in response to supply-chain volatility, tariff pressures, and rapid shifts in demand. </w:t>
      </w:r>
      <w:r w:rsidR="00CD786A">
        <w:rPr>
          <w:rFonts w:ascii="Times New Roman" w:hAnsi="Times New Roman" w:cs="Times New Roman"/>
        </w:rPr>
        <w:t>Recently</w:t>
      </w:r>
      <w:r w:rsidRPr="00EF52E1">
        <w:rPr>
          <w:rFonts w:ascii="Times New Roman" w:hAnsi="Times New Roman" w:cs="Times New Roman"/>
        </w:rPr>
        <w:t xml:space="preserve">, the global semiconductor industry has experienced heightened uncertainty due to geopolitical tensions, </w:t>
      </w:r>
      <w:r w:rsidR="00CD786A">
        <w:rPr>
          <w:rFonts w:ascii="Times New Roman" w:hAnsi="Times New Roman" w:cs="Times New Roman"/>
        </w:rPr>
        <w:t>over-regulation</w:t>
      </w:r>
      <w:r w:rsidRPr="00EF52E1">
        <w:rPr>
          <w:rFonts w:ascii="Times New Roman" w:hAnsi="Times New Roman" w:cs="Times New Roman"/>
        </w:rPr>
        <w:t xml:space="preserve">, and surging demand driven by artificial intelligence (AI) and cloud computing. </w:t>
      </w:r>
      <w:r w:rsidR="00CD786A">
        <w:rPr>
          <w:rFonts w:ascii="Times New Roman" w:hAnsi="Times New Roman" w:cs="Times New Roman"/>
        </w:rPr>
        <w:t>The</w:t>
      </w:r>
      <w:r w:rsidRPr="00EF52E1">
        <w:rPr>
          <w:rFonts w:ascii="Times New Roman" w:hAnsi="Times New Roman" w:cs="Times New Roman"/>
        </w:rPr>
        <w:t xml:space="preserve"> NVIDIA Corporation has made strategic cost decisions </w:t>
      </w:r>
      <w:r w:rsidR="00CD786A">
        <w:rPr>
          <w:rFonts w:ascii="Times New Roman" w:hAnsi="Times New Roman" w:cs="Times New Roman"/>
        </w:rPr>
        <w:t>with the modest goal of</w:t>
      </w:r>
      <w:r w:rsidRPr="00EF52E1">
        <w:rPr>
          <w:rFonts w:ascii="Times New Roman" w:hAnsi="Times New Roman" w:cs="Times New Roman"/>
        </w:rPr>
        <w:t xml:space="preserve"> stabilizing manufacturing access and reducing long-term cost volatility.</w:t>
      </w:r>
    </w:p>
    <w:p w14:paraId="640705FA" w14:textId="77777777" w:rsidR="00EF52E1" w:rsidRPr="00EF52E1" w:rsidRDefault="00EF52E1" w:rsidP="00EF52E1">
      <w:pPr>
        <w:spacing w:line="480" w:lineRule="auto"/>
        <w:rPr>
          <w:rFonts w:ascii="Times New Roman" w:hAnsi="Times New Roman" w:cs="Times New Roman"/>
          <w:b/>
          <w:bCs/>
        </w:rPr>
      </w:pPr>
      <w:r w:rsidRPr="00EF52E1">
        <w:rPr>
          <w:rFonts w:ascii="Times New Roman" w:hAnsi="Times New Roman" w:cs="Times New Roman"/>
          <w:b/>
          <w:bCs/>
        </w:rPr>
        <w:t>Company Overview and Competitive Environment</w:t>
      </w:r>
    </w:p>
    <w:p w14:paraId="7C7D4506" w14:textId="0FEE0191" w:rsidR="00EF52E1" w:rsidRPr="00EF52E1" w:rsidRDefault="00CD786A" w:rsidP="00EF52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is </w:t>
      </w:r>
      <w:r w:rsidR="00EF52E1" w:rsidRPr="00EF52E1">
        <w:rPr>
          <w:rFonts w:ascii="Times New Roman" w:hAnsi="Times New Roman" w:cs="Times New Roman"/>
        </w:rPr>
        <w:t>NVIDIA</w:t>
      </w:r>
      <w:r>
        <w:rPr>
          <w:rFonts w:ascii="Times New Roman" w:hAnsi="Times New Roman" w:cs="Times New Roman"/>
        </w:rPr>
        <w:t xml:space="preserve"> </w:t>
      </w:r>
      <w:r w:rsidR="007B18E3">
        <w:rPr>
          <w:rFonts w:ascii="Times New Roman" w:hAnsi="Times New Roman" w:cs="Times New Roman"/>
        </w:rPr>
        <w:t>Corporation?</w:t>
      </w:r>
      <w:r>
        <w:rPr>
          <w:rFonts w:ascii="Times New Roman" w:hAnsi="Times New Roman" w:cs="Times New Roman"/>
        </w:rPr>
        <w:t xml:space="preserve"> NVIDIA</w:t>
      </w:r>
      <w:r w:rsidR="00EF52E1" w:rsidRPr="00EF52E1">
        <w:rPr>
          <w:rFonts w:ascii="Times New Roman" w:hAnsi="Times New Roman" w:cs="Times New Roman"/>
        </w:rPr>
        <w:t xml:space="preserve"> is a leading designer of graphics processing units (GPUs), accelerated computing platforms, and AI infrastructure solutions. The company operates under a fabless manufacturing model</w:t>
      </w:r>
      <w:r w:rsidR="007B18E3">
        <w:rPr>
          <w:rFonts w:ascii="Times New Roman" w:hAnsi="Times New Roman" w:cs="Times New Roman"/>
        </w:rPr>
        <w:t xml:space="preserve"> and</w:t>
      </w:r>
      <w:r w:rsidR="00EF52E1" w:rsidRPr="00EF52E1">
        <w:rPr>
          <w:rFonts w:ascii="Times New Roman" w:hAnsi="Times New Roman" w:cs="Times New Roman"/>
        </w:rPr>
        <w:t xml:space="preserve"> designs semiconductor products </w:t>
      </w:r>
      <w:r w:rsidR="007B18E3">
        <w:rPr>
          <w:rFonts w:ascii="Times New Roman" w:hAnsi="Times New Roman" w:cs="Times New Roman"/>
        </w:rPr>
        <w:t>using</w:t>
      </w:r>
      <w:r w:rsidR="00EF52E1" w:rsidRPr="00EF52E1">
        <w:rPr>
          <w:rFonts w:ascii="Times New Roman" w:hAnsi="Times New Roman" w:cs="Times New Roman"/>
        </w:rPr>
        <w:t xml:space="preserve"> third-party manufacturers to fabricate, assemble, and test its chips. NVIDIA’s products serve a broad range of markets, including data centers, cloud service providers, gaming</w:t>
      </w:r>
      <w:r w:rsidR="00A97E44">
        <w:rPr>
          <w:rFonts w:ascii="Times New Roman" w:hAnsi="Times New Roman" w:cs="Times New Roman"/>
        </w:rPr>
        <w:t xml:space="preserve">  (graphics cards)</w:t>
      </w:r>
      <w:r w:rsidR="00EF52E1" w:rsidRPr="00EF52E1">
        <w:rPr>
          <w:rFonts w:ascii="Times New Roman" w:hAnsi="Times New Roman" w:cs="Times New Roman"/>
        </w:rPr>
        <w:t xml:space="preserve">, </w:t>
      </w:r>
      <w:r w:rsidR="00A97E44">
        <w:rPr>
          <w:rFonts w:ascii="Times New Roman" w:hAnsi="Times New Roman" w:cs="Times New Roman"/>
        </w:rPr>
        <w:t xml:space="preserve">and </w:t>
      </w:r>
      <w:r w:rsidR="00EF52E1" w:rsidRPr="00EF52E1">
        <w:rPr>
          <w:rFonts w:ascii="Times New Roman" w:hAnsi="Times New Roman" w:cs="Times New Roman"/>
        </w:rPr>
        <w:t>professional visualization</w:t>
      </w:r>
      <w:r w:rsidR="00A97E44">
        <w:rPr>
          <w:rFonts w:ascii="Times New Roman" w:hAnsi="Times New Roman" w:cs="Times New Roman"/>
        </w:rPr>
        <w:t xml:space="preserve"> </w:t>
      </w:r>
      <w:r w:rsidR="00EF52E1" w:rsidRPr="00EF52E1">
        <w:rPr>
          <w:rFonts w:ascii="Times New Roman" w:hAnsi="Times New Roman" w:cs="Times New Roman"/>
        </w:rPr>
        <w:t>(NVIDIA, 2025).</w:t>
      </w:r>
    </w:p>
    <w:p w14:paraId="45EF8B6C" w14:textId="7240A23D" w:rsidR="00EF52E1" w:rsidRPr="00EF52E1" w:rsidRDefault="00EF52E1" w:rsidP="00EF52E1">
      <w:pPr>
        <w:spacing w:line="480" w:lineRule="auto"/>
        <w:rPr>
          <w:rFonts w:ascii="Times New Roman" w:hAnsi="Times New Roman" w:cs="Times New Roman"/>
        </w:rPr>
      </w:pPr>
      <w:r w:rsidRPr="00EF52E1">
        <w:rPr>
          <w:rFonts w:ascii="Times New Roman" w:hAnsi="Times New Roman" w:cs="Times New Roman"/>
        </w:rPr>
        <w:t xml:space="preserve">The semiconductor industry is characterized </w:t>
      </w:r>
      <w:r w:rsidR="00A97E44">
        <w:rPr>
          <w:rFonts w:ascii="Times New Roman" w:hAnsi="Times New Roman" w:cs="Times New Roman"/>
        </w:rPr>
        <w:t>as having</w:t>
      </w:r>
      <w:r w:rsidRPr="00EF52E1">
        <w:rPr>
          <w:rFonts w:ascii="Times New Roman" w:hAnsi="Times New Roman" w:cs="Times New Roman"/>
        </w:rPr>
        <w:t xml:space="preserve"> rapid technological change, and significant barriers to entry. </w:t>
      </w:r>
      <w:r w:rsidR="00A97E44">
        <w:rPr>
          <w:rFonts w:ascii="Times New Roman" w:hAnsi="Times New Roman" w:cs="Times New Roman"/>
        </w:rPr>
        <w:t xml:space="preserve">The </w:t>
      </w:r>
      <w:r w:rsidRPr="00EF52E1">
        <w:rPr>
          <w:rFonts w:ascii="Times New Roman" w:hAnsi="Times New Roman" w:cs="Times New Roman"/>
        </w:rPr>
        <w:t xml:space="preserve">global semiconductor and electronic parts manufacturing </w:t>
      </w:r>
      <w:r w:rsidR="00A97E44" w:rsidRPr="00EF52E1">
        <w:rPr>
          <w:rFonts w:ascii="Times New Roman" w:hAnsi="Times New Roman" w:cs="Times New Roman"/>
        </w:rPr>
        <w:t>require</w:t>
      </w:r>
      <w:r w:rsidRPr="00EF52E1">
        <w:rPr>
          <w:rFonts w:ascii="Times New Roman" w:hAnsi="Times New Roman" w:cs="Times New Roman"/>
        </w:rPr>
        <w:t xml:space="preserve"> sustained investment in advanced equipment, specialized labor, and </w:t>
      </w:r>
      <w:r w:rsidR="00A97E44">
        <w:rPr>
          <w:rFonts w:ascii="Times New Roman" w:hAnsi="Times New Roman" w:cs="Times New Roman"/>
        </w:rPr>
        <w:t xml:space="preserve">R&amp;D. </w:t>
      </w:r>
      <w:r w:rsidR="009A1928">
        <w:rPr>
          <w:rFonts w:ascii="Times New Roman" w:hAnsi="Times New Roman" w:cs="Times New Roman"/>
        </w:rPr>
        <w:t>I would argue</w:t>
      </w:r>
      <w:r w:rsidR="00A97E44">
        <w:rPr>
          <w:rFonts w:ascii="Times New Roman" w:hAnsi="Times New Roman" w:cs="Times New Roman"/>
        </w:rPr>
        <w:t xml:space="preserve"> t</w:t>
      </w:r>
      <w:r w:rsidR="009A1928">
        <w:rPr>
          <w:rFonts w:ascii="Times New Roman" w:hAnsi="Times New Roman" w:cs="Times New Roman"/>
        </w:rPr>
        <w:t>hat</w:t>
      </w:r>
      <w:r w:rsidR="00A97E44">
        <w:rPr>
          <w:rFonts w:ascii="Times New Roman" w:hAnsi="Times New Roman" w:cs="Times New Roman"/>
        </w:rPr>
        <w:t xml:space="preserve"> NVIDIA operates in industries that are</w:t>
      </w:r>
      <w:r w:rsidRPr="00EF52E1">
        <w:rPr>
          <w:rFonts w:ascii="Times New Roman" w:hAnsi="Times New Roman" w:cs="Times New Roman"/>
        </w:rPr>
        <w:t xml:space="preserve"> highly sensitive to supply disruptions and geopolitical risk (IBISWorld, 2025</w:t>
      </w:r>
      <w:r w:rsidR="00A97E44">
        <w:rPr>
          <w:rFonts w:ascii="Times New Roman" w:hAnsi="Times New Roman" w:cs="Times New Roman"/>
        </w:rPr>
        <w:t>a</w:t>
      </w:r>
      <w:r w:rsidRPr="00EF52E1">
        <w:rPr>
          <w:rFonts w:ascii="Times New Roman" w:hAnsi="Times New Roman" w:cs="Times New Roman"/>
        </w:rPr>
        <w:t>). Competitive advantage in this industry depends on reliable access to manufacturing capacity and the ability to scale production efficiently</w:t>
      </w:r>
      <w:r w:rsidR="009A1928">
        <w:rPr>
          <w:rFonts w:ascii="Times New Roman" w:hAnsi="Times New Roman" w:cs="Times New Roman"/>
        </w:rPr>
        <w:t>, especially</w:t>
      </w:r>
      <w:r w:rsidRPr="00EF52E1">
        <w:rPr>
          <w:rFonts w:ascii="Times New Roman" w:hAnsi="Times New Roman" w:cs="Times New Roman"/>
        </w:rPr>
        <w:t xml:space="preserve"> during demand </w:t>
      </w:r>
      <w:r w:rsidRPr="00EF52E1">
        <w:rPr>
          <w:rFonts w:ascii="Times New Roman" w:hAnsi="Times New Roman" w:cs="Times New Roman"/>
        </w:rPr>
        <w:lastRenderedPageBreak/>
        <w:t>surges.</w:t>
      </w:r>
      <w:r w:rsidR="009A1928">
        <w:rPr>
          <w:rFonts w:ascii="Times New Roman" w:hAnsi="Times New Roman" w:cs="Times New Roman"/>
        </w:rPr>
        <w:t xml:space="preserve"> G</w:t>
      </w:r>
      <w:r w:rsidRPr="00EF52E1">
        <w:rPr>
          <w:rFonts w:ascii="Times New Roman" w:hAnsi="Times New Roman" w:cs="Times New Roman"/>
        </w:rPr>
        <w:t xml:space="preserve">rowth in AI, machine learning, and cloud computing has intensified competition for advanced semiconductor manufacturing capacity. </w:t>
      </w:r>
      <w:r w:rsidR="009A1928">
        <w:rPr>
          <w:rFonts w:ascii="Times New Roman" w:hAnsi="Times New Roman" w:cs="Times New Roman"/>
        </w:rPr>
        <w:t>Because of</w:t>
      </w:r>
      <w:r w:rsidRPr="00EF52E1">
        <w:rPr>
          <w:rFonts w:ascii="Times New Roman" w:hAnsi="Times New Roman" w:cs="Times New Roman"/>
        </w:rPr>
        <w:t xml:space="preserve"> expanding data processing and hosting services in the United States</w:t>
      </w:r>
      <w:r w:rsidR="009A1928">
        <w:rPr>
          <w:rFonts w:ascii="Times New Roman" w:hAnsi="Times New Roman" w:cs="Times New Roman"/>
        </w:rPr>
        <w:t xml:space="preserve">, </w:t>
      </w:r>
      <w:r w:rsidRPr="00EF52E1">
        <w:rPr>
          <w:rFonts w:ascii="Times New Roman" w:hAnsi="Times New Roman" w:cs="Times New Roman"/>
        </w:rPr>
        <w:t>demand for high-performance computing infrastructure</w:t>
      </w:r>
      <w:r w:rsidR="009A1928">
        <w:rPr>
          <w:rFonts w:ascii="Times New Roman" w:hAnsi="Times New Roman" w:cs="Times New Roman"/>
        </w:rPr>
        <w:t xml:space="preserve"> has exploded</w:t>
      </w:r>
      <w:r w:rsidRPr="00EF52E1">
        <w:rPr>
          <w:rFonts w:ascii="Times New Roman" w:hAnsi="Times New Roman" w:cs="Times New Roman"/>
        </w:rPr>
        <w:t xml:space="preserve">, further straining global chip supply (IBISWorld, 2025b). </w:t>
      </w:r>
      <w:r w:rsidR="009A1928">
        <w:rPr>
          <w:rFonts w:ascii="Times New Roman" w:hAnsi="Times New Roman" w:cs="Times New Roman"/>
        </w:rPr>
        <w:t>F</w:t>
      </w:r>
      <w:r w:rsidRPr="00EF52E1">
        <w:rPr>
          <w:rFonts w:ascii="Times New Roman" w:hAnsi="Times New Roman" w:cs="Times New Roman"/>
        </w:rPr>
        <w:t>irms like NVIDIA</w:t>
      </w:r>
      <w:r w:rsidR="009A1928">
        <w:rPr>
          <w:rFonts w:ascii="Times New Roman" w:hAnsi="Times New Roman" w:cs="Times New Roman"/>
        </w:rPr>
        <w:t xml:space="preserve"> will ultimately</w:t>
      </w:r>
      <w:r w:rsidRPr="00EF52E1">
        <w:rPr>
          <w:rFonts w:ascii="Times New Roman" w:hAnsi="Times New Roman" w:cs="Times New Roman"/>
        </w:rPr>
        <w:t xml:space="preserve"> face strategic decisions regarding how to secure manufacturing inputs while managing cost volatility and long production lead times</w:t>
      </w:r>
      <w:r w:rsidR="009A1928">
        <w:rPr>
          <w:rFonts w:ascii="Times New Roman" w:hAnsi="Times New Roman" w:cs="Times New Roman"/>
        </w:rPr>
        <w:t>.</w:t>
      </w:r>
    </w:p>
    <w:p w14:paraId="11C4927E" w14:textId="77777777" w:rsidR="00EF52E1" w:rsidRPr="00EF52E1" w:rsidRDefault="00EF52E1" w:rsidP="00EF52E1">
      <w:pPr>
        <w:spacing w:line="480" w:lineRule="auto"/>
        <w:rPr>
          <w:rFonts w:ascii="Times New Roman" w:hAnsi="Times New Roman" w:cs="Times New Roman"/>
          <w:b/>
          <w:bCs/>
        </w:rPr>
      </w:pPr>
      <w:r w:rsidRPr="00EF52E1">
        <w:rPr>
          <w:rFonts w:ascii="Times New Roman" w:hAnsi="Times New Roman" w:cs="Times New Roman"/>
          <w:b/>
          <w:bCs/>
        </w:rPr>
        <w:t>Industry Cost Pressures and Supply-Chain Constraints</w:t>
      </w:r>
    </w:p>
    <w:p w14:paraId="47DB5CAF" w14:textId="77777777" w:rsidR="008F64E6" w:rsidRDefault="00EF52E1" w:rsidP="00EF52E1">
      <w:pPr>
        <w:spacing w:line="480" w:lineRule="auto"/>
        <w:rPr>
          <w:rFonts w:ascii="Times New Roman" w:hAnsi="Times New Roman" w:cs="Times New Roman"/>
        </w:rPr>
      </w:pPr>
      <w:r w:rsidRPr="00EF52E1">
        <w:rPr>
          <w:rFonts w:ascii="Times New Roman" w:hAnsi="Times New Roman" w:cs="Times New Roman"/>
        </w:rPr>
        <w:t xml:space="preserve">Industry-wide cost pressures </w:t>
      </w:r>
      <w:r w:rsidR="008F64E6">
        <w:rPr>
          <w:rFonts w:ascii="Times New Roman" w:hAnsi="Times New Roman" w:cs="Times New Roman"/>
        </w:rPr>
        <w:t>can provide</w:t>
      </w:r>
      <w:r w:rsidRPr="00EF52E1">
        <w:rPr>
          <w:rFonts w:ascii="Times New Roman" w:hAnsi="Times New Roman" w:cs="Times New Roman"/>
        </w:rPr>
        <w:t xml:space="preserve"> </w:t>
      </w:r>
      <w:r w:rsidR="003E4100">
        <w:rPr>
          <w:rFonts w:ascii="Times New Roman" w:hAnsi="Times New Roman" w:cs="Times New Roman"/>
        </w:rPr>
        <w:t>some necessary</w:t>
      </w:r>
      <w:r w:rsidRPr="00EF52E1">
        <w:rPr>
          <w:rFonts w:ascii="Times New Roman" w:hAnsi="Times New Roman" w:cs="Times New Roman"/>
        </w:rPr>
        <w:t xml:space="preserve"> context for NVIDIA’s strategic decision. Semiconductor manufacturing involves extended production lead times</w:t>
      </w:r>
      <w:r w:rsidR="008F64E6">
        <w:rPr>
          <w:rFonts w:ascii="Times New Roman" w:hAnsi="Times New Roman" w:cs="Times New Roman"/>
        </w:rPr>
        <w:t xml:space="preserve">, </w:t>
      </w:r>
      <w:r w:rsidRPr="00EF52E1">
        <w:rPr>
          <w:rFonts w:ascii="Times New Roman" w:hAnsi="Times New Roman" w:cs="Times New Roman"/>
        </w:rPr>
        <w:t>often exceeding twelve months</w:t>
      </w:r>
      <w:r w:rsidR="008F64E6">
        <w:rPr>
          <w:rFonts w:ascii="Times New Roman" w:hAnsi="Times New Roman" w:cs="Times New Roman"/>
        </w:rPr>
        <w:t xml:space="preserve">, </w:t>
      </w:r>
      <w:r w:rsidRPr="00EF52E1">
        <w:rPr>
          <w:rFonts w:ascii="Times New Roman" w:hAnsi="Times New Roman" w:cs="Times New Roman"/>
        </w:rPr>
        <w:t xml:space="preserve">along with heavy dependence on specialized foundries and equipment suppliers. </w:t>
      </w:r>
      <w:r w:rsidR="008F64E6">
        <w:rPr>
          <w:rFonts w:ascii="Times New Roman" w:hAnsi="Times New Roman" w:cs="Times New Roman"/>
        </w:rPr>
        <w:t>S</w:t>
      </w:r>
      <w:r w:rsidRPr="00EF52E1">
        <w:rPr>
          <w:rFonts w:ascii="Times New Roman" w:hAnsi="Times New Roman" w:cs="Times New Roman"/>
        </w:rPr>
        <w:t>upply-chain concentration and capital intensity expose firms to cost fluctuations arising from tariffs, export controls, and geopolitical developments (IBISWorld, 2025a).</w:t>
      </w:r>
      <w:r w:rsidR="008F64E6">
        <w:rPr>
          <w:rFonts w:ascii="Times New Roman" w:hAnsi="Times New Roman" w:cs="Times New Roman"/>
        </w:rPr>
        <w:t xml:space="preserve"> Here i</w:t>
      </w:r>
      <w:r w:rsidRPr="00EF52E1">
        <w:rPr>
          <w:rFonts w:ascii="Times New Roman" w:hAnsi="Times New Roman" w:cs="Times New Roman"/>
        </w:rPr>
        <w:t xml:space="preserve">n the United States, government initiatives such as the CHIPS Act have encouraged domestic semiconductor investment, increasing demand for semiconductor machinery and manufacturing capacity. </w:t>
      </w:r>
      <w:r w:rsidR="008F64E6">
        <w:rPr>
          <w:rFonts w:ascii="Times New Roman" w:hAnsi="Times New Roman" w:cs="Times New Roman"/>
        </w:rPr>
        <w:t>Closer</w:t>
      </w:r>
      <w:r w:rsidRPr="00EF52E1">
        <w:rPr>
          <w:rFonts w:ascii="Times New Roman" w:hAnsi="Times New Roman" w:cs="Times New Roman"/>
        </w:rPr>
        <w:t xml:space="preserve"> analysis of U.S. semiconductor machinery manufacturing highlights rising fixed costs, increased capital investment, and growing incentives for reshoring production to reduce supply-chain risk (IBISWorld, 2025c). </w:t>
      </w:r>
    </w:p>
    <w:p w14:paraId="21BBFB81" w14:textId="72C78CFE" w:rsidR="00EF52E1" w:rsidRPr="00EF52E1" w:rsidRDefault="00EF52E1" w:rsidP="00EF52E1">
      <w:pPr>
        <w:spacing w:line="480" w:lineRule="auto"/>
        <w:rPr>
          <w:rFonts w:ascii="Times New Roman" w:hAnsi="Times New Roman" w:cs="Times New Roman"/>
        </w:rPr>
      </w:pPr>
      <w:r w:rsidRPr="00EF52E1">
        <w:rPr>
          <w:rFonts w:ascii="Times New Roman" w:hAnsi="Times New Roman" w:cs="Times New Roman"/>
        </w:rPr>
        <w:t>These structural conditions have made reliance on spot-market manufacturing arrangements increasingly risky for fabless firms</w:t>
      </w:r>
      <w:r w:rsidR="008F64E6">
        <w:rPr>
          <w:rFonts w:ascii="Times New Roman" w:hAnsi="Times New Roman" w:cs="Times New Roman"/>
        </w:rPr>
        <w:t xml:space="preserve"> like NVIDIA</w:t>
      </w:r>
      <w:r w:rsidRPr="00EF52E1">
        <w:rPr>
          <w:rFonts w:ascii="Times New Roman" w:hAnsi="Times New Roman" w:cs="Times New Roman"/>
        </w:rPr>
        <w:t>.</w:t>
      </w:r>
      <w:r w:rsidR="008F64E6">
        <w:rPr>
          <w:rFonts w:ascii="Times New Roman" w:hAnsi="Times New Roman" w:cs="Times New Roman"/>
        </w:rPr>
        <w:t xml:space="preserve"> De</w:t>
      </w:r>
      <w:r w:rsidRPr="00EF52E1">
        <w:rPr>
          <w:rFonts w:ascii="Times New Roman" w:hAnsi="Times New Roman" w:cs="Times New Roman"/>
        </w:rPr>
        <w:t xml:space="preserve">mand-side pressures have </w:t>
      </w:r>
      <w:r w:rsidR="008F64E6">
        <w:rPr>
          <w:rFonts w:ascii="Times New Roman" w:hAnsi="Times New Roman" w:cs="Times New Roman"/>
        </w:rPr>
        <w:t xml:space="preserve">also </w:t>
      </w:r>
      <w:r w:rsidRPr="00EF52E1">
        <w:rPr>
          <w:rFonts w:ascii="Times New Roman" w:hAnsi="Times New Roman" w:cs="Times New Roman"/>
        </w:rPr>
        <w:t>accelerated</w:t>
      </w:r>
      <w:r w:rsidR="008F64E6">
        <w:rPr>
          <w:rFonts w:ascii="Times New Roman" w:hAnsi="Times New Roman" w:cs="Times New Roman"/>
        </w:rPr>
        <w:t xml:space="preserve"> during this period</w:t>
      </w:r>
      <w:r w:rsidRPr="00EF52E1">
        <w:rPr>
          <w:rFonts w:ascii="Times New Roman" w:hAnsi="Times New Roman" w:cs="Times New Roman"/>
        </w:rPr>
        <w:t xml:space="preserve">. Growth in data processing and hosting services has driven </w:t>
      </w:r>
      <w:r w:rsidR="008F64E6">
        <w:rPr>
          <w:rFonts w:ascii="Times New Roman" w:hAnsi="Times New Roman" w:cs="Times New Roman"/>
        </w:rPr>
        <w:t xml:space="preserve">and will continue to drive </w:t>
      </w:r>
      <w:r w:rsidRPr="00EF52E1">
        <w:rPr>
          <w:rFonts w:ascii="Times New Roman" w:hAnsi="Times New Roman" w:cs="Times New Roman"/>
        </w:rPr>
        <w:t xml:space="preserve">unprecedented demand for AI accelerators and GPUs, placing additional stress on semiconductor supply chains (IBISWorld, 2025b). </w:t>
      </w:r>
      <w:r w:rsidR="008F64E6">
        <w:rPr>
          <w:rFonts w:ascii="Times New Roman" w:hAnsi="Times New Roman" w:cs="Times New Roman"/>
        </w:rPr>
        <w:t>C</w:t>
      </w:r>
      <w:r w:rsidRPr="00EF52E1">
        <w:rPr>
          <w:rFonts w:ascii="Times New Roman" w:hAnsi="Times New Roman" w:cs="Times New Roman"/>
        </w:rPr>
        <w:t xml:space="preserve">ost predictability and capacity assurance </w:t>
      </w:r>
      <w:r w:rsidR="00970712">
        <w:rPr>
          <w:rFonts w:ascii="Times New Roman" w:hAnsi="Times New Roman" w:cs="Times New Roman"/>
        </w:rPr>
        <w:t>are becoming more</w:t>
      </w:r>
      <w:r w:rsidRPr="00EF52E1">
        <w:rPr>
          <w:rFonts w:ascii="Times New Roman" w:hAnsi="Times New Roman" w:cs="Times New Roman"/>
        </w:rPr>
        <w:t xml:space="preserve"> strategically valuable, even at the expense of higher fixed commitments.</w:t>
      </w:r>
    </w:p>
    <w:p w14:paraId="43AC3697" w14:textId="77777777" w:rsidR="00EF52E1" w:rsidRPr="00EF52E1" w:rsidRDefault="00EF52E1" w:rsidP="00EF52E1">
      <w:pPr>
        <w:spacing w:line="480" w:lineRule="auto"/>
        <w:rPr>
          <w:rFonts w:ascii="Times New Roman" w:hAnsi="Times New Roman" w:cs="Times New Roman"/>
          <w:b/>
          <w:bCs/>
        </w:rPr>
      </w:pPr>
      <w:r w:rsidRPr="00EF52E1">
        <w:rPr>
          <w:rFonts w:ascii="Times New Roman" w:hAnsi="Times New Roman" w:cs="Times New Roman"/>
          <w:b/>
          <w:bCs/>
        </w:rPr>
        <w:lastRenderedPageBreak/>
        <w:t>Description of NVIDIA’s Strategic Cost Decision</w:t>
      </w:r>
    </w:p>
    <w:p w14:paraId="40B71792" w14:textId="738E0281" w:rsidR="00EF52E1" w:rsidRPr="00EF52E1" w:rsidRDefault="00EF52E1" w:rsidP="00EF52E1">
      <w:pPr>
        <w:spacing w:line="480" w:lineRule="auto"/>
        <w:rPr>
          <w:rFonts w:ascii="Times New Roman" w:hAnsi="Times New Roman" w:cs="Times New Roman"/>
        </w:rPr>
      </w:pPr>
      <w:r w:rsidRPr="00EF52E1">
        <w:rPr>
          <w:rFonts w:ascii="Times New Roman" w:hAnsi="Times New Roman" w:cs="Times New Roman"/>
        </w:rPr>
        <w:t xml:space="preserve">NVIDIA’s strategic cost decision centers </w:t>
      </w:r>
      <w:r w:rsidR="00970712">
        <w:rPr>
          <w:rFonts w:ascii="Times New Roman" w:hAnsi="Times New Roman" w:cs="Times New Roman"/>
        </w:rPr>
        <w:t>around</w:t>
      </w:r>
      <w:r w:rsidRPr="00EF52E1">
        <w:rPr>
          <w:rFonts w:ascii="Times New Roman" w:hAnsi="Times New Roman" w:cs="Times New Roman"/>
        </w:rPr>
        <w:t xml:space="preserve"> its choice to increase long-term manufacturing and infrastructure commitments </w:t>
      </w:r>
      <w:r w:rsidR="00970712" w:rsidRPr="00EF52E1">
        <w:rPr>
          <w:rFonts w:ascii="Times New Roman" w:hAnsi="Times New Roman" w:cs="Times New Roman"/>
        </w:rPr>
        <w:t>to</w:t>
      </w:r>
      <w:r w:rsidRPr="00EF52E1">
        <w:rPr>
          <w:rFonts w:ascii="Times New Roman" w:hAnsi="Times New Roman" w:cs="Times New Roman"/>
        </w:rPr>
        <w:t xml:space="preserve"> stabilize costs and </w:t>
      </w:r>
      <w:r w:rsidR="00970712">
        <w:rPr>
          <w:rFonts w:ascii="Times New Roman" w:hAnsi="Times New Roman" w:cs="Times New Roman"/>
        </w:rPr>
        <w:t>secure</w:t>
      </w:r>
      <w:r w:rsidRPr="00EF52E1">
        <w:rPr>
          <w:rFonts w:ascii="Times New Roman" w:hAnsi="Times New Roman" w:cs="Times New Roman"/>
        </w:rPr>
        <w:t xml:space="preserve"> access to capacity. </w:t>
      </w:r>
      <w:r w:rsidR="00970712">
        <w:rPr>
          <w:rFonts w:ascii="Times New Roman" w:hAnsi="Times New Roman" w:cs="Times New Roman"/>
        </w:rPr>
        <w:t>NVIDIA also</w:t>
      </w:r>
      <w:r w:rsidRPr="00EF52E1">
        <w:rPr>
          <w:rFonts w:ascii="Times New Roman" w:hAnsi="Times New Roman" w:cs="Times New Roman"/>
        </w:rPr>
        <w:t xml:space="preserve"> relies heavily on third-party manufacturers and has </w:t>
      </w:r>
      <w:r w:rsidR="00970712">
        <w:rPr>
          <w:rFonts w:ascii="Times New Roman" w:hAnsi="Times New Roman" w:cs="Times New Roman"/>
        </w:rPr>
        <w:t xml:space="preserve">already </w:t>
      </w:r>
      <w:r w:rsidRPr="00EF52E1">
        <w:rPr>
          <w:rFonts w:ascii="Times New Roman" w:hAnsi="Times New Roman" w:cs="Times New Roman"/>
        </w:rPr>
        <w:t xml:space="preserve">responded to supply constraints by entering into non-cancellable, non-returnable purchase commitments </w:t>
      </w:r>
      <w:r w:rsidR="00970712">
        <w:rPr>
          <w:rFonts w:ascii="Times New Roman" w:hAnsi="Times New Roman" w:cs="Times New Roman"/>
        </w:rPr>
        <w:t>along with</w:t>
      </w:r>
      <w:r w:rsidRPr="00EF52E1">
        <w:rPr>
          <w:rFonts w:ascii="Times New Roman" w:hAnsi="Times New Roman" w:cs="Times New Roman"/>
        </w:rPr>
        <w:t xml:space="preserve"> prepayments to secure future manufacturing capacity (NVIDIA, 2025). These arrangements </w:t>
      </w:r>
      <w:r w:rsidR="00970712">
        <w:rPr>
          <w:rFonts w:ascii="Times New Roman" w:hAnsi="Times New Roman" w:cs="Times New Roman"/>
        </w:rPr>
        <w:t xml:space="preserve">will </w:t>
      </w:r>
      <w:r w:rsidRPr="00EF52E1">
        <w:rPr>
          <w:rFonts w:ascii="Times New Roman" w:hAnsi="Times New Roman" w:cs="Times New Roman"/>
        </w:rPr>
        <w:t>increase fixed cost exposure but reduce the risk of supply disruptions and unexpected cost escalation.</w:t>
      </w:r>
    </w:p>
    <w:p w14:paraId="4B101847" w14:textId="6127B66B" w:rsidR="00EF52E1" w:rsidRPr="00EF52E1" w:rsidRDefault="00970712" w:rsidP="00EF52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we have here is a</w:t>
      </w:r>
      <w:r w:rsidR="00EF52E1" w:rsidRPr="00EF52E1">
        <w:rPr>
          <w:rFonts w:ascii="Times New Roman" w:hAnsi="Times New Roman" w:cs="Times New Roman"/>
        </w:rPr>
        <w:t xml:space="preserve"> deliberate shift in cost behavior. NVIDIA has accepted higher fixed commitments to reduce long-run uncertainty. The company’s Management Discussion and Analysis emphasizes that securing manufacturing capacity </w:t>
      </w:r>
      <w:r w:rsidR="00210322">
        <w:rPr>
          <w:rFonts w:ascii="Times New Roman" w:hAnsi="Times New Roman" w:cs="Times New Roman"/>
        </w:rPr>
        <w:t>is critical</w:t>
      </w:r>
      <w:r w:rsidR="00EF52E1" w:rsidRPr="00EF52E1">
        <w:rPr>
          <w:rFonts w:ascii="Times New Roman" w:hAnsi="Times New Roman" w:cs="Times New Roman"/>
        </w:rPr>
        <w:t xml:space="preserve"> to meeting customer demand and sustaining growth in AI and data-center markets (NVIDIA, 2025).</w:t>
      </w:r>
    </w:p>
    <w:p w14:paraId="26491409" w14:textId="6C78D2EC" w:rsidR="00EF52E1" w:rsidRPr="00EF52E1" w:rsidRDefault="00EF52E1" w:rsidP="00EF52E1">
      <w:pPr>
        <w:spacing w:line="480" w:lineRule="auto"/>
        <w:rPr>
          <w:rFonts w:ascii="Times New Roman" w:hAnsi="Times New Roman" w:cs="Times New Roman"/>
        </w:rPr>
      </w:pPr>
      <w:r w:rsidRPr="00EF52E1">
        <w:rPr>
          <w:rFonts w:ascii="Times New Roman" w:hAnsi="Times New Roman" w:cs="Times New Roman"/>
        </w:rPr>
        <w:t>NVIDIA’s collaboration with Intel Corporation, under which Intel will design and manufacture custom CPUs for NVIDIA’s data center and client platforms</w:t>
      </w:r>
      <w:r w:rsidR="00210322">
        <w:rPr>
          <w:rFonts w:ascii="Times New Roman" w:hAnsi="Times New Roman" w:cs="Times New Roman"/>
        </w:rPr>
        <w:t xml:space="preserve"> further reinforces strategic cost decisions by the firm</w:t>
      </w:r>
      <w:r w:rsidRPr="00EF52E1">
        <w:rPr>
          <w:rFonts w:ascii="Times New Roman" w:hAnsi="Times New Roman" w:cs="Times New Roman"/>
        </w:rPr>
        <w:t xml:space="preserve">. </w:t>
      </w:r>
      <w:r w:rsidR="00210322">
        <w:rPr>
          <w:rFonts w:ascii="Times New Roman" w:hAnsi="Times New Roman" w:cs="Times New Roman"/>
        </w:rPr>
        <w:t xml:space="preserve">Additionally, </w:t>
      </w:r>
      <w:r w:rsidRPr="00EF52E1">
        <w:rPr>
          <w:rFonts w:ascii="Times New Roman" w:hAnsi="Times New Roman" w:cs="Times New Roman"/>
        </w:rPr>
        <w:t xml:space="preserve">NVIDIA </w:t>
      </w:r>
      <w:r w:rsidR="00210322">
        <w:rPr>
          <w:rFonts w:ascii="Times New Roman" w:hAnsi="Times New Roman" w:cs="Times New Roman"/>
        </w:rPr>
        <w:t>recently</w:t>
      </w:r>
      <w:r w:rsidRPr="00EF52E1">
        <w:rPr>
          <w:rFonts w:ascii="Times New Roman" w:hAnsi="Times New Roman" w:cs="Times New Roman"/>
        </w:rPr>
        <w:t xml:space="preserve"> announced a $5 billion equity investment in Intel’s common stock as part of this collaboration (NVIDIA, 2025b). While NVIDIA does not directly own manufacturing facilities, this partnership aligns the company with U.S.-based manufacturing capacity </w:t>
      </w:r>
      <w:r w:rsidR="00210322">
        <w:rPr>
          <w:rFonts w:ascii="Times New Roman" w:hAnsi="Times New Roman" w:cs="Times New Roman"/>
        </w:rPr>
        <w:t xml:space="preserve">that it is a long-term need </w:t>
      </w:r>
      <w:r w:rsidRPr="00EF52E1">
        <w:rPr>
          <w:rFonts w:ascii="Times New Roman" w:hAnsi="Times New Roman" w:cs="Times New Roman"/>
        </w:rPr>
        <w:t>and reduces dependency risk</w:t>
      </w:r>
      <w:r w:rsidR="00210322">
        <w:rPr>
          <w:rFonts w:ascii="Times New Roman" w:hAnsi="Times New Roman" w:cs="Times New Roman"/>
        </w:rPr>
        <w:t>.</w:t>
      </w:r>
    </w:p>
    <w:p w14:paraId="5C92777B" w14:textId="77777777" w:rsidR="00EF52E1" w:rsidRPr="00EF52E1" w:rsidRDefault="00EF52E1" w:rsidP="00EF52E1">
      <w:pPr>
        <w:spacing w:line="480" w:lineRule="auto"/>
        <w:rPr>
          <w:rFonts w:ascii="Times New Roman" w:hAnsi="Times New Roman" w:cs="Times New Roman"/>
          <w:b/>
          <w:bCs/>
        </w:rPr>
      </w:pPr>
      <w:r w:rsidRPr="00EF52E1">
        <w:rPr>
          <w:rFonts w:ascii="Times New Roman" w:hAnsi="Times New Roman" w:cs="Times New Roman"/>
          <w:b/>
          <w:bCs/>
        </w:rPr>
        <w:t>Public Reaction and Strategic Implications</w:t>
      </w:r>
    </w:p>
    <w:p w14:paraId="31039C09" w14:textId="2BC29D3C" w:rsidR="00EF52E1" w:rsidRPr="00EF52E1" w:rsidRDefault="00EF52E1" w:rsidP="00EF52E1">
      <w:pPr>
        <w:spacing w:line="480" w:lineRule="auto"/>
        <w:rPr>
          <w:rFonts w:ascii="Times New Roman" w:hAnsi="Times New Roman" w:cs="Times New Roman"/>
        </w:rPr>
      </w:pPr>
      <w:r w:rsidRPr="00EF52E1">
        <w:rPr>
          <w:rFonts w:ascii="Times New Roman" w:hAnsi="Times New Roman" w:cs="Times New Roman"/>
        </w:rPr>
        <w:t xml:space="preserve">Public and investor reaction to NVIDIA’s strategic cost decision has </w:t>
      </w:r>
      <w:r w:rsidR="001B5F74">
        <w:rPr>
          <w:rFonts w:ascii="Times New Roman" w:hAnsi="Times New Roman" w:cs="Times New Roman"/>
        </w:rPr>
        <w:t>been mostly</w:t>
      </w:r>
      <w:r w:rsidRPr="00EF52E1">
        <w:rPr>
          <w:rFonts w:ascii="Times New Roman" w:hAnsi="Times New Roman" w:cs="Times New Roman"/>
        </w:rPr>
        <w:t xml:space="preserve"> positive, reflecting confidence in the firm’s long-term positioning within the AI ecosystem. Increased fixed commitments </w:t>
      </w:r>
      <w:r w:rsidR="001B5F74">
        <w:rPr>
          <w:rFonts w:ascii="Times New Roman" w:hAnsi="Times New Roman" w:cs="Times New Roman"/>
        </w:rPr>
        <w:t xml:space="preserve">may </w:t>
      </w:r>
      <w:r w:rsidRPr="00EF52E1">
        <w:rPr>
          <w:rFonts w:ascii="Times New Roman" w:hAnsi="Times New Roman" w:cs="Times New Roman"/>
        </w:rPr>
        <w:t xml:space="preserve">expose NVIDIA to potential downside risk if demand growth slows or if technological shifts reduce the value of existing capacity agreements. NVIDIA’s own risk </w:t>
      </w:r>
      <w:r w:rsidRPr="00EF52E1">
        <w:rPr>
          <w:rFonts w:ascii="Times New Roman" w:hAnsi="Times New Roman" w:cs="Times New Roman"/>
        </w:rPr>
        <w:lastRenderedPageBreak/>
        <w:t xml:space="preserve">disclosures acknowledge </w:t>
      </w:r>
      <w:r w:rsidR="001B5F74">
        <w:rPr>
          <w:rFonts w:ascii="Times New Roman" w:hAnsi="Times New Roman" w:cs="Times New Roman"/>
        </w:rPr>
        <w:t>this possibility. There is potential</w:t>
      </w:r>
      <w:r w:rsidRPr="00EF52E1">
        <w:rPr>
          <w:rFonts w:ascii="Times New Roman" w:hAnsi="Times New Roman" w:cs="Times New Roman"/>
        </w:rPr>
        <w:t xml:space="preserve"> </w:t>
      </w:r>
      <w:r w:rsidR="001B5F74">
        <w:rPr>
          <w:rFonts w:ascii="Times New Roman" w:hAnsi="Times New Roman" w:cs="Times New Roman"/>
        </w:rPr>
        <w:t>for</w:t>
      </w:r>
      <w:r w:rsidRPr="00EF52E1">
        <w:rPr>
          <w:rFonts w:ascii="Times New Roman" w:hAnsi="Times New Roman" w:cs="Times New Roman"/>
        </w:rPr>
        <w:t xml:space="preserve"> inventory write-downs, margin pressure, or impaired assets if demand forecasts prove inaccurate (NVIDIA, 2025). These risks highlight the inherent tension in strategic cost decisions between stability and flexibility.</w:t>
      </w:r>
      <w:r w:rsidR="009960E9">
        <w:rPr>
          <w:rFonts w:ascii="Times New Roman" w:hAnsi="Times New Roman" w:cs="Times New Roman"/>
        </w:rPr>
        <w:t xml:space="preserve"> </w:t>
      </w:r>
      <w:r w:rsidRPr="00EF52E1">
        <w:rPr>
          <w:rFonts w:ascii="Times New Roman" w:hAnsi="Times New Roman" w:cs="Times New Roman"/>
        </w:rPr>
        <w:t xml:space="preserve">Despite these risks, the benefits of cost predictability and supply assurance outweigh the potential drawbacks. NVIDIA’s approach reflects a strategic calculation that long-term cost stability is essential to sustaining </w:t>
      </w:r>
      <w:r w:rsidR="009960E9">
        <w:rPr>
          <w:rFonts w:ascii="Times New Roman" w:hAnsi="Times New Roman" w:cs="Times New Roman"/>
        </w:rPr>
        <w:t xml:space="preserve">a </w:t>
      </w:r>
      <w:r w:rsidRPr="00EF52E1">
        <w:rPr>
          <w:rFonts w:ascii="Times New Roman" w:hAnsi="Times New Roman" w:cs="Times New Roman"/>
        </w:rPr>
        <w:t>competitive advantage in an AI-driven market.</w:t>
      </w:r>
    </w:p>
    <w:p w14:paraId="7285D032" w14:textId="77777777" w:rsidR="00EF52E1" w:rsidRPr="00EF52E1" w:rsidRDefault="00EF52E1" w:rsidP="00EF52E1">
      <w:pPr>
        <w:spacing w:line="480" w:lineRule="auto"/>
        <w:rPr>
          <w:rFonts w:ascii="Times New Roman" w:hAnsi="Times New Roman" w:cs="Times New Roman"/>
          <w:b/>
          <w:bCs/>
        </w:rPr>
      </w:pPr>
      <w:r w:rsidRPr="00EF52E1">
        <w:rPr>
          <w:rFonts w:ascii="Times New Roman" w:hAnsi="Times New Roman" w:cs="Times New Roman"/>
          <w:b/>
          <w:bCs/>
        </w:rPr>
        <w:t>Conclusion</w:t>
      </w:r>
    </w:p>
    <w:p w14:paraId="5FD015B1" w14:textId="70035AD6" w:rsidR="00EF52E1" w:rsidRPr="00EF52E1" w:rsidRDefault="00EF52E1" w:rsidP="00EF52E1">
      <w:pPr>
        <w:spacing w:line="480" w:lineRule="auto"/>
        <w:rPr>
          <w:rFonts w:ascii="Times New Roman" w:hAnsi="Times New Roman" w:cs="Times New Roman"/>
        </w:rPr>
      </w:pPr>
      <w:r w:rsidRPr="00EF52E1">
        <w:rPr>
          <w:rFonts w:ascii="Times New Roman" w:hAnsi="Times New Roman" w:cs="Times New Roman"/>
        </w:rPr>
        <w:t xml:space="preserve">NVIDIA’s recent strategic cost decision illustrates how advanced accounting </w:t>
      </w:r>
      <w:r w:rsidR="00BE4F64">
        <w:rPr>
          <w:rFonts w:ascii="Times New Roman" w:hAnsi="Times New Roman" w:cs="Times New Roman"/>
        </w:rPr>
        <w:t>managers should</w:t>
      </w:r>
      <w:r w:rsidRPr="00EF52E1">
        <w:rPr>
          <w:rFonts w:ascii="Times New Roman" w:hAnsi="Times New Roman" w:cs="Times New Roman"/>
        </w:rPr>
        <w:t xml:space="preserve"> </w:t>
      </w:r>
      <w:r w:rsidR="00BE4F64">
        <w:rPr>
          <w:rFonts w:ascii="Times New Roman" w:hAnsi="Times New Roman" w:cs="Times New Roman"/>
        </w:rPr>
        <w:t>operate in</w:t>
      </w:r>
      <w:r w:rsidRPr="00EF52E1">
        <w:rPr>
          <w:rFonts w:ascii="Times New Roman" w:hAnsi="Times New Roman" w:cs="Times New Roman"/>
        </w:rPr>
        <w:t xml:space="preserve"> real-world corporate contexts. Faced with supply-chain volatility, tariff risk, and surging demand for AI infrastructure, NVIDIA chose to increase long-term manufacturing and infrastructure commitments rather than rely on flexible, short-term sourcing. This decision reshaped the company’s cost structure by increasing fixed commitments in exchange for cost predictability and capacity assurance</w:t>
      </w:r>
      <w:r w:rsidR="00BE4F64">
        <w:rPr>
          <w:rFonts w:ascii="Times New Roman" w:hAnsi="Times New Roman" w:cs="Times New Roman"/>
        </w:rPr>
        <w:t>, but the advantages justify NVIDIA’s actions for making this change</w:t>
      </w:r>
      <w:r w:rsidRPr="00EF52E1">
        <w:rPr>
          <w:rFonts w:ascii="Times New Roman" w:hAnsi="Times New Roman" w:cs="Times New Roman"/>
        </w:rPr>
        <w:t>.</w:t>
      </w:r>
      <w:r w:rsidR="00BE4F64">
        <w:rPr>
          <w:rFonts w:ascii="Times New Roman" w:hAnsi="Times New Roman" w:cs="Times New Roman"/>
        </w:rPr>
        <w:t xml:space="preserve"> S</w:t>
      </w:r>
      <w:r w:rsidRPr="00EF52E1">
        <w:rPr>
          <w:rFonts w:ascii="Times New Roman" w:hAnsi="Times New Roman" w:cs="Times New Roman"/>
        </w:rPr>
        <w:t>trategic cost decisions often involve tradeoffs between flexibility and stability rather than simple cost reduction. NVIDIA’s approach reflects a broader shift within the semiconductor industry toward long-term cost management strategies designed to support sustained growth in an increasingly uncertain environment.</w:t>
      </w:r>
      <w:r w:rsidR="00BE4F64">
        <w:rPr>
          <w:rFonts w:ascii="Times New Roman" w:hAnsi="Times New Roman" w:cs="Times New Roman"/>
        </w:rPr>
        <w:t xml:space="preserve"> It is important to remember that perfection isn’t the overall goal here. It is best practice to make a data driven decision that follows accepted guidelines and norms.</w:t>
      </w:r>
    </w:p>
    <w:p w14:paraId="4CDCFEAB" w14:textId="205A9BBE" w:rsidR="00EF52E1" w:rsidRDefault="00EF52E1" w:rsidP="00EF52E1">
      <w:pPr>
        <w:rPr>
          <w:rFonts w:ascii="Times New Roman" w:hAnsi="Times New Roman" w:cs="Times New Roman"/>
        </w:rPr>
      </w:pPr>
    </w:p>
    <w:p w14:paraId="120399AE" w14:textId="77777777" w:rsidR="001277A3" w:rsidRDefault="001277A3" w:rsidP="00EF52E1">
      <w:pPr>
        <w:rPr>
          <w:rFonts w:ascii="Times New Roman" w:hAnsi="Times New Roman" w:cs="Times New Roman"/>
        </w:rPr>
      </w:pPr>
    </w:p>
    <w:p w14:paraId="20AFE0D0" w14:textId="77777777" w:rsidR="00BE4F64" w:rsidRDefault="00BE4F64" w:rsidP="00EF52E1">
      <w:pPr>
        <w:rPr>
          <w:rFonts w:ascii="Times New Roman" w:hAnsi="Times New Roman" w:cs="Times New Roman"/>
        </w:rPr>
      </w:pPr>
    </w:p>
    <w:p w14:paraId="1FDCD0D1" w14:textId="77777777" w:rsidR="00BE4F64" w:rsidRDefault="00BE4F64" w:rsidP="00EF52E1">
      <w:pPr>
        <w:rPr>
          <w:rFonts w:ascii="Times New Roman" w:hAnsi="Times New Roman" w:cs="Times New Roman"/>
        </w:rPr>
      </w:pPr>
    </w:p>
    <w:p w14:paraId="2D2FC333" w14:textId="77777777" w:rsidR="001277A3" w:rsidRPr="00EF52E1" w:rsidRDefault="001277A3" w:rsidP="00EF52E1">
      <w:pPr>
        <w:rPr>
          <w:rFonts w:ascii="Times New Roman" w:hAnsi="Times New Roman" w:cs="Times New Roman"/>
        </w:rPr>
      </w:pPr>
    </w:p>
    <w:p w14:paraId="282BF306" w14:textId="654CDF4A" w:rsidR="001F57DF" w:rsidRPr="001F57DF" w:rsidRDefault="001F57DF" w:rsidP="001F57D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F57DF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3916FFAD" w14:textId="77777777" w:rsidR="001F57DF" w:rsidRPr="001F57DF" w:rsidRDefault="001F57DF" w:rsidP="001F57DF">
      <w:pPr>
        <w:rPr>
          <w:rFonts w:ascii="Times New Roman" w:hAnsi="Times New Roman" w:cs="Times New Roman"/>
        </w:rPr>
      </w:pPr>
      <w:r w:rsidRPr="001F57DF">
        <w:rPr>
          <w:rFonts w:ascii="Times New Roman" w:hAnsi="Times New Roman" w:cs="Times New Roman"/>
        </w:rPr>
        <w:t xml:space="preserve">IBISWorld. (2025a). </w:t>
      </w:r>
      <w:r w:rsidRPr="001F57DF">
        <w:rPr>
          <w:rFonts w:ascii="Times New Roman" w:hAnsi="Times New Roman" w:cs="Times New Roman"/>
          <w:i/>
          <w:iCs/>
        </w:rPr>
        <w:t>Global semiconductor &amp; electronic parts manufacturing</w:t>
      </w:r>
      <w:r w:rsidRPr="001F57DF">
        <w:rPr>
          <w:rFonts w:ascii="Times New Roman" w:hAnsi="Times New Roman" w:cs="Times New Roman"/>
        </w:rPr>
        <w:t xml:space="preserve"> [Industry report]. IBISWorld. </w:t>
      </w:r>
      <w:hyperlink r:id="rId8" w:history="1">
        <w:r w:rsidRPr="001F57DF">
          <w:rPr>
            <w:rStyle w:val="Hyperlink"/>
            <w:rFonts w:ascii="Times New Roman" w:hAnsi="Times New Roman" w:cs="Times New Roman"/>
          </w:rPr>
          <w:t>https://my-ibisworld-com.ezproxy.library.ewu.edu/gl/en/industry/c2524-gl/at-a-glance</w:t>
        </w:r>
      </w:hyperlink>
    </w:p>
    <w:p w14:paraId="425B692A" w14:textId="77777777" w:rsidR="001F57DF" w:rsidRPr="001F57DF" w:rsidRDefault="001F57DF" w:rsidP="001F57DF">
      <w:pPr>
        <w:rPr>
          <w:rFonts w:ascii="Times New Roman" w:hAnsi="Times New Roman" w:cs="Times New Roman"/>
        </w:rPr>
      </w:pPr>
      <w:r w:rsidRPr="001F57DF">
        <w:rPr>
          <w:rFonts w:ascii="Times New Roman" w:hAnsi="Times New Roman" w:cs="Times New Roman"/>
        </w:rPr>
        <w:t xml:space="preserve">IBISWorld. (2025b). </w:t>
      </w:r>
      <w:r w:rsidRPr="001F57DF">
        <w:rPr>
          <w:rFonts w:ascii="Times New Roman" w:hAnsi="Times New Roman" w:cs="Times New Roman"/>
          <w:i/>
          <w:iCs/>
        </w:rPr>
        <w:t>Data processing &amp; hosting services in the United States</w:t>
      </w:r>
      <w:r w:rsidRPr="001F57DF">
        <w:rPr>
          <w:rFonts w:ascii="Times New Roman" w:hAnsi="Times New Roman" w:cs="Times New Roman"/>
        </w:rPr>
        <w:t xml:space="preserve"> [Industry report]. IBISWorld. </w:t>
      </w:r>
      <w:hyperlink r:id="rId9" w:history="1">
        <w:r w:rsidRPr="001F57DF">
          <w:rPr>
            <w:rStyle w:val="Hyperlink"/>
            <w:rFonts w:ascii="Times New Roman" w:hAnsi="Times New Roman" w:cs="Times New Roman"/>
          </w:rPr>
          <w:t>https://my-ibisworld-com.ezproxy.library.ewu.edu/us/en/industry/51821/at-a-glance</w:t>
        </w:r>
      </w:hyperlink>
    </w:p>
    <w:p w14:paraId="47DE3784" w14:textId="77777777" w:rsidR="001F57DF" w:rsidRPr="001F57DF" w:rsidRDefault="001F57DF" w:rsidP="001F57DF">
      <w:pPr>
        <w:rPr>
          <w:rFonts w:ascii="Times New Roman" w:hAnsi="Times New Roman" w:cs="Times New Roman"/>
        </w:rPr>
      </w:pPr>
      <w:r w:rsidRPr="001F57DF">
        <w:rPr>
          <w:rFonts w:ascii="Times New Roman" w:hAnsi="Times New Roman" w:cs="Times New Roman"/>
        </w:rPr>
        <w:t xml:space="preserve">IBISWorld. (2025c). </w:t>
      </w:r>
      <w:r w:rsidRPr="001F57DF">
        <w:rPr>
          <w:rFonts w:ascii="Times New Roman" w:hAnsi="Times New Roman" w:cs="Times New Roman"/>
          <w:i/>
          <w:iCs/>
        </w:rPr>
        <w:t>Semiconductor machinery manufacturing in the United States</w:t>
      </w:r>
      <w:r w:rsidRPr="001F57DF">
        <w:rPr>
          <w:rFonts w:ascii="Times New Roman" w:hAnsi="Times New Roman" w:cs="Times New Roman"/>
        </w:rPr>
        <w:t xml:space="preserve"> [Industry report]. IBISWorld. </w:t>
      </w:r>
      <w:hyperlink r:id="rId10" w:history="1">
        <w:r w:rsidRPr="001F57DF">
          <w:rPr>
            <w:rStyle w:val="Hyperlink"/>
            <w:rFonts w:ascii="Times New Roman" w:hAnsi="Times New Roman" w:cs="Times New Roman"/>
          </w:rPr>
          <w:t>https://my-ibisworld-com.ezproxy.library.ewu.edu/us/en/industry/33329a/at-a-glance</w:t>
        </w:r>
      </w:hyperlink>
    </w:p>
    <w:p w14:paraId="330492D4" w14:textId="77777777" w:rsidR="001F57DF" w:rsidRPr="001F57DF" w:rsidRDefault="001F57DF" w:rsidP="001F57DF">
      <w:pPr>
        <w:rPr>
          <w:rFonts w:ascii="Times New Roman" w:hAnsi="Times New Roman" w:cs="Times New Roman"/>
        </w:rPr>
      </w:pPr>
      <w:r w:rsidRPr="001F57DF">
        <w:rPr>
          <w:rFonts w:ascii="Times New Roman" w:hAnsi="Times New Roman" w:cs="Times New Roman"/>
        </w:rPr>
        <w:t xml:space="preserve">NVIDIA Corporation. (2025). </w:t>
      </w:r>
      <w:r w:rsidRPr="001F57DF">
        <w:rPr>
          <w:rFonts w:ascii="Times New Roman" w:hAnsi="Times New Roman" w:cs="Times New Roman"/>
          <w:i/>
          <w:iCs/>
        </w:rPr>
        <w:t>Form 10-K for the fiscal year ended January 26, 2025</w:t>
      </w:r>
      <w:r w:rsidRPr="001F57DF">
        <w:rPr>
          <w:rFonts w:ascii="Times New Roman" w:hAnsi="Times New Roman" w:cs="Times New Roman"/>
        </w:rPr>
        <w:t xml:space="preserve">. U.S. Securities and Exchange Commission. </w:t>
      </w:r>
      <w:hyperlink r:id="rId11" w:history="1">
        <w:r w:rsidRPr="001F57DF">
          <w:rPr>
            <w:rStyle w:val="Hyperlink"/>
            <w:rFonts w:ascii="Times New Roman" w:hAnsi="Times New Roman" w:cs="Times New Roman"/>
          </w:rPr>
          <w:t>https://www.sec.gov/Archives/edgar/data/1045810/000104581025000023/nvda-20250126.htm</w:t>
        </w:r>
      </w:hyperlink>
    </w:p>
    <w:p w14:paraId="741583CD" w14:textId="46906DE4" w:rsidR="001F57DF" w:rsidRPr="001F57DF" w:rsidRDefault="001F57DF" w:rsidP="001F57DF">
      <w:pPr>
        <w:rPr>
          <w:rFonts w:ascii="Times New Roman" w:hAnsi="Times New Roman" w:cs="Times New Roman"/>
        </w:rPr>
      </w:pPr>
      <w:r w:rsidRPr="001F57DF">
        <w:rPr>
          <w:rFonts w:ascii="Times New Roman" w:hAnsi="Times New Roman" w:cs="Times New Roman"/>
        </w:rPr>
        <w:t xml:space="preserve">NVIDIA Corporation. (2025b, September 18). </w:t>
      </w:r>
      <w:r w:rsidRPr="001F57DF">
        <w:rPr>
          <w:rFonts w:ascii="Times New Roman" w:hAnsi="Times New Roman" w:cs="Times New Roman"/>
          <w:i/>
          <w:iCs/>
        </w:rPr>
        <w:t>NVIDIA and Intel to develop AI infrastructure and personal computing products</w:t>
      </w:r>
      <w:r w:rsidRPr="001F57DF">
        <w:rPr>
          <w:rFonts w:ascii="Times New Roman" w:hAnsi="Times New Roman" w:cs="Times New Roman"/>
        </w:rPr>
        <w:t xml:space="preserve">. NVIDIA News. </w:t>
      </w:r>
      <w:hyperlink r:id="rId12" w:history="1">
        <w:r w:rsidRPr="001F57DF">
          <w:rPr>
            <w:rStyle w:val="Hyperlink"/>
            <w:rFonts w:ascii="Times New Roman" w:hAnsi="Times New Roman" w:cs="Times New Roman"/>
          </w:rPr>
          <w:t>https://nvidianews.nvidia.com/news/nvidia-and-intel-to-develop-ai-infrastructure-and-personal-computing-products</w:t>
        </w:r>
      </w:hyperlink>
    </w:p>
    <w:p w14:paraId="2DB7C166" w14:textId="3516A07B" w:rsidR="003B1F7D" w:rsidRPr="00EF52E1" w:rsidRDefault="003B1F7D" w:rsidP="001F57DF">
      <w:pPr>
        <w:rPr>
          <w:rFonts w:ascii="Times New Roman" w:hAnsi="Times New Roman" w:cs="Times New Roman"/>
        </w:rPr>
      </w:pPr>
    </w:p>
    <w:sectPr w:rsidR="003B1F7D" w:rsidRPr="00EF52E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0B3D" w14:textId="77777777" w:rsidR="00A47F3C" w:rsidRDefault="00A47F3C" w:rsidP="00EF52E1">
      <w:pPr>
        <w:spacing w:after="0" w:line="240" w:lineRule="auto"/>
      </w:pPr>
      <w:r>
        <w:separator/>
      </w:r>
    </w:p>
  </w:endnote>
  <w:endnote w:type="continuationSeparator" w:id="0">
    <w:p w14:paraId="2BCE0335" w14:textId="77777777" w:rsidR="00A47F3C" w:rsidRDefault="00A47F3C" w:rsidP="00EF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1971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037E3F" w14:textId="2B0B05A6" w:rsidR="00EF52E1" w:rsidRDefault="00EF52E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E6D245" w14:textId="77777777" w:rsidR="00EF52E1" w:rsidRDefault="00EF5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D389" w14:textId="77777777" w:rsidR="00A47F3C" w:rsidRDefault="00A47F3C" w:rsidP="00EF52E1">
      <w:pPr>
        <w:spacing w:after="0" w:line="240" w:lineRule="auto"/>
      </w:pPr>
      <w:r>
        <w:separator/>
      </w:r>
    </w:p>
  </w:footnote>
  <w:footnote w:type="continuationSeparator" w:id="0">
    <w:p w14:paraId="30E0A410" w14:textId="77777777" w:rsidR="00A47F3C" w:rsidRDefault="00A47F3C" w:rsidP="00EF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A54FF"/>
    <w:multiLevelType w:val="multilevel"/>
    <w:tmpl w:val="EC2E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F49A4"/>
    <w:multiLevelType w:val="multilevel"/>
    <w:tmpl w:val="B610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616077">
    <w:abstractNumId w:val="1"/>
  </w:num>
  <w:num w:numId="2" w16cid:durableId="8435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4F"/>
    <w:rsid w:val="0004014F"/>
    <w:rsid w:val="001277A3"/>
    <w:rsid w:val="001B5F74"/>
    <w:rsid w:val="001F57DF"/>
    <w:rsid w:val="00210322"/>
    <w:rsid w:val="003B1F7D"/>
    <w:rsid w:val="003E4100"/>
    <w:rsid w:val="007B18E3"/>
    <w:rsid w:val="008810AA"/>
    <w:rsid w:val="008F0D0E"/>
    <w:rsid w:val="008F64E6"/>
    <w:rsid w:val="00970712"/>
    <w:rsid w:val="009960E9"/>
    <w:rsid w:val="009A1928"/>
    <w:rsid w:val="00A05D23"/>
    <w:rsid w:val="00A47F3C"/>
    <w:rsid w:val="00A97E44"/>
    <w:rsid w:val="00BE4F64"/>
    <w:rsid w:val="00C8327C"/>
    <w:rsid w:val="00CD786A"/>
    <w:rsid w:val="00D236A0"/>
    <w:rsid w:val="00E339CE"/>
    <w:rsid w:val="00EE3EBE"/>
    <w:rsid w:val="00EF52E1"/>
    <w:rsid w:val="00F04F0F"/>
    <w:rsid w:val="00F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CC54"/>
  <w15:chartTrackingRefBased/>
  <w15:docId w15:val="{CB3D3D62-0A5A-42AE-8FAE-6994F65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1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2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2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E1"/>
  </w:style>
  <w:style w:type="paragraph" w:styleId="Footer">
    <w:name w:val="footer"/>
    <w:basedOn w:val="Normal"/>
    <w:link w:val="FooterChar"/>
    <w:uiPriority w:val="99"/>
    <w:unhideWhenUsed/>
    <w:rsid w:val="00EF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ibisworld-com.ezproxy.library.ewu.edu/gl/en/industry/c2524-gl/at-a-glanc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vidianews.nvidia.com/news/nvidia-and-intel-to-develop-ai-infrastructure-and-personal-computing-produ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c.gov/Archives/edgar/data/1045810/000104581025000023/nvda-20250126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y-ibisworld-com.ezproxy.library.ewu.edu/us/en/industry/33329a/at-a-gl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-ibisworld-com.ezproxy.library.ewu.edu/us/en/industry/51821/at-a-g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1125</Words>
  <Characters>8012</Characters>
  <Application>Microsoft Office Word</Application>
  <DocSecurity>0</DocSecurity>
  <Lines>129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 Name</dc:creator>
  <cp:keywords/>
  <dc:description/>
  <cp:lastModifiedBy>Private Name</cp:lastModifiedBy>
  <cp:revision>13</cp:revision>
  <dcterms:created xsi:type="dcterms:W3CDTF">2026-02-05T10:22:00Z</dcterms:created>
  <dcterms:modified xsi:type="dcterms:W3CDTF">2026-02-06T09:05:00Z</dcterms:modified>
</cp:coreProperties>
</file>